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aps/>
          <w:color w:val="5850EC"/>
          <w:sz w:val="18"/>
          <w:szCs w:val="18"/>
        </w:rPr>
        <w:t xml:space="preserve">SOCCER ACADEMY BUSINESS PLAN TEMPLATE</w:t>
      </w:r>
    </w:p>
    <w:p>
      <w:pPr>
        <w:pStyle w:val="Title"/>
        <w:spacing w:after="120"/>
      </w:pPr>
      <w:r>
        <w:t xml:space="preserve">[Your academy name] Business Plan</w:t>
      </w:r>
    </w:p>
    <w:p>
      <w:pPr>
        <w:spacing w:after="240"/>
      </w:pPr>
      <w:r>
        <w:rPr>
          <w:b/>
          <w:bCs/>
        </w:rPr>
        <w:t xml:space="preserve">Prepared by: </w:t>
      </w:r>
      <w:r>
        <w:rPr>
          <w:i/>
          <w:iCs/>
          <w:color w:val="6B7280"/>
        </w:rPr>
        <w:t xml:space="preserve">[name]     </w:t>
      </w:r>
      <w:r>
        <w:rPr>
          <w:b/>
          <w:bCs/>
        </w:rPr>
        <w:t xml:space="preserve">Date: </w:t>
      </w:r>
      <w:r>
        <w:rPr>
          <w:i/>
          <w:iCs/>
          <w:color w:val="6B7280"/>
        </w:rPr>
        <w:t xml:space="preserve">[date]     </w:t>
      </w:r>
      <w:r>
        <w:rPr>
          <w:b/>
          <w:bCs/>
        </w:rPr>
        <w:t xml:space="preserve">Contact: </w:t>
      </w:r>
      <w:r>
        <w:rPr>
          <w:i/>
          <w:iCs/>
          <w:color w:val="6B7280"/>
        </w:rPr>
        <w:t xml:space="preserve">[email / phone]</w:t>
      </w:r>
    </w:p>
    <w:p>
      <w:pPr>
        <w:spacing w:after="160"/>
      </w:pPr>
      <w:r>
        <w:rPr>
          <w:i/>
          <w:iCs/>
          <w:color w:val="6B7280"/>
        </w:rPr>
        <w:t xml:space="preserve">How to use this template: work through the sections in order, replacing every italic prompt with your own words and numbers. The bordered Lakeside Soccer Academy examples show the level of detail a lender expects — delete them as you go. This template pairs with our full guide at www.pembee.app/blog/soccer-academy-business-plan and the break-even calculator spreadsheet, which does the financial math for you.</w:t>
      </w:r>
    </w:p>
    <w:p>
      <w:pPr>
        <w:pStyle w:val="Heading1"/>
      </w:pPr>
      <w:r>
        <w:t xml:space="preserve">1. Executive summary</w:t>
      </w:r>
    </w:p>
    <w:p>
      <w:pPr>
        <w:spacing w:after="160"/>
      </w:pPr>
      <w:r>
        <w:rPr>
          <w:i/>
          <w:iCs/>
          <w:color w:val="6B7280"/>
        </w:rPr>
        <w:t xml:space="preserve">One page maximum, and write it last, once every other number exists. If someone reads only this section, they should understand the academy and why it will work.</w:t>
      </w:r>
    </w:p>
    <w:p>
      <w:pPr>
        <w:spacing w:after="40" w:before="120"/>
      </w:pPr>
      <w:r>
        <w:rPr>
          <w:b/>
          <w:bCs/>
        </w:rPr>
        <w:t xml:space="preserve">The concept: </w:t>
      </w:r>
      <w:r>
        <w:rPr>
          <w:i/>
          <w:iCs/>
          <w:color w:val="6B7280"/>
        </w:rPr>
        <w:t xml:space="preserve">what you coach, where, and for whom, in two or three sentences</w:t>
      </w:r>
    </w:p>
    <w:p>
      <w:pPr>
        <w:spacing w:after="160"/>
      </w:pPr>
    </w:p>
    <w:p>
      <w:pPr>
        <w:spacing w:after="160"/>
      </w:pPr>
    </w:p>
    <w:p>
      <w:pPr>
        <w:spacing w:after="40" w:before="120"/>
      </w:pPr>
      <w:r>
        <w:rPr>
          <w:b/>
          <w:bCs/>
        </w:rPr>
        <w:t xml:space="preserve">Funding ask: </w:t>
      </w:r>
      <w:r>
        <w:rPr>
          <w:i/>
          <w:iCs/>
          <w:color w:val="6B7280"/>
        </w:rPr>
        <w:t xml:space="preserve">how much you are raising and what it pays for</w:t>
      </w:r>
    </w:p>
    <w:p>
      <w:pPr>
        <w:spacing w:after="160"/>
      </w:pPr>
    </w:p>
    <w:p>
      <w:pPr>
        <w:spacing w:after="40" w:before="120"/>
      </w:pPr>
      <w:r>
        <w:rPr>
          <w:b/>
          <w:bCs/>
        </w:rPr>
        <w:t xml:space="preserve">Headline goal: </w:t>
      </w:r>
      <w:r>
        <w:rPr>
          <w:i/>
          <w:iCs/>
          <w:color w:val="6B7280"/>
        </w:rPr>
        <w:t xml:space="preserve">your break-even month and target player count</w:t>
      </w:r>
    </w:p>
    <w:p>
      <w:pPr>
        <w:spacing w:after="160"/>
      </w:pPr>
    </w:p>
    <w:p>
      <w:pPr>
        <w:pBdr>
          <w:left w:val="single" w:color="5850EC" w:sz="18" w:space="8"/>
        </w:pBdr>
        <w:spacing w:after="160" w:before="80"/>
      </w:pPr>
      <w:r>
        <w:rPr>
          <w:b/>
          <w:bCs/>
          <w:color w:val="5850EC"/>
        </w:rPr>
        <w:t xml:space="preserve">Example (Lakeside Soccer Academy): </w:t>
      </w:r>
      <w:r>
        <w:rPr>
          <w:i/>
          <w:iCs/>
        </w:rPr>
        <w:t xml:space="preserve">Lakeside Soccer Academy is an asset-light recreational academy renting outdoor field time in season and indoor futsal space in winter, coaching ages 5 to 16 with a recreational core and a small travel and select pathway. We are raising around $30,000 to fund equipment, first-block field hire, insurance, and working capital. We aim to reach roughly 225 active players and break even by around month 9, targeting a 12 to 15% operating margin in year two.</w:t>
      </w:r>
    </w:p>
    <w:p>
      <w:pPr>
        <w:pStyle w:val="Heading1"/>
      </w:pPr>
      <w:r>
        <w:t xml:space="preserve">2. Company overview</w:t>
      </w:r>
    </w:p>
    <w:p>
      <w:pPr>
        <w:pStyle w:val="Heading2"/>
      </w:pPr>
      <w:r>
        <w:t xml:space="preserve">Business structure and ownership</w:t>
      </w:r>
    </w:p>
    <w:p>
      <w:pPr>
        <w:spacing w:after="160"/>
      </w:pPr>
      <w:r>
        <w:rPr>
          <w:i/>
          <w:iCs/>
          <w:color w:val="6B7280"/>
        </w:rPr>
        <w:t xml:space="preserve">State your legal structure (LLC, corporation, or nonprofit), why you chose it, and who owns the business in what shares. Nonprofit status unlocks grants a for-profit academy cannot access.</w:t>
      </w:r>
    </w:p>
    <w:p>
      <w:pPr>
        <w:spacing w:after="160"/>
      </w:pPr>
    </w:p>
    <w:p>
      <w:pPr>
        <w:spacing w:after="160"/>
      </w:pPr>
    </w:p>
    <w:p>
      <w:pPr>
        <w:pStyle w:val="Heading2"/>
      </w:pPr>
      <w:r>
        <w:t xml:space="preserve">Mission and vision</w:t>
      </w:r>
    </w:p>
    <w:p>
      <w:pPr>
        <w:spacing w:after="40" w:before="120"/>
      </w:pPr>
      <w:r>
        <w:rPr>
          <w:b/>
          <w:bCs/>
        </w:rPr>
        <w:t xml:space="preserve">Mission: </w:t>
      </w:r>
      <w:r>
        <w:rPr>
          <w:i/>
          <w:iCs/>
          <w:color w:val="6B7280"/>
        </w:rPr>
        <w:t xml:space="preserve">one sentence on why your academy exists</w:t>
      </w:r>
    </w:p>
    <w:p>
      <w:pPr>
        <w:spacing w:after="160"/>
      </w:pPr>
    </w:p>
    <w:p>
      <w:pPr>
        <w:spacing w:after="40" w:before="120"/>
      </w:pPr>
      <w:r>
        <w:rPr>
          <w:b/>
          <w:bCs/>
        </w:rPr>
        <w:t xml:space="preserve">Vision: </w:t>
      </w:r>
      <w:r>
        <w:rPr>
          <w:i/>
          <w:iCs/>
          <w:color w:val="6B7280"/>
        </w:rPr>
        <w:t xml:space="preserve">one sentence on what success looks like in five years</w:t>
      </w:r>
    </w:p>
    <w:p>
      <w:pPr>
        <w:spacing w:after="160"/>
      </w:pPr>
    </w:p>
    <w:p>
      <w:pPr>
        <w:pStyle w:val="Heading2"/>
      </w:pPr>
      <w:r>
        <w:t xml:space="preserve">Affiliation and sanctioning</w:t>
      </w:r>
    </w:p>
    <w:p>
      <w:pPr>
        <w:spacing w:after="160"/>
      </w:pPr>
      <w:r>
        <w:rPr>
          <w:i/>
          <w:iCs/>
          <w:color w:val="6B7280"/>
        </w:rPr>
        <w:t xml:space="preserve">Which body you will sanction through (e.g. US Youth Soccer, US Club Soccer, or AYSO for recreational play), what it costs, and what it unlocks — league play, showcases, and often an insurance pathway.</w:t>
      </w:r>
    </w:p>
    <w:p>
      <w:pPr>
        <w:spacing w:after="160"/>
      </w:pPr>
    </w:p>
    <w:p>
      <w:pPr>
        <w:pStyle w:val="Heading1"/>
      </w:pPr>
      <w:r>
        <w:t xml:space="preserve">3. Market analysis</w:t>
      </w:r>
    </w:p>
    <w:p>
      <w:pPr>
        <w:pStyle w:val="Heading2"/>
      </w:pPr>
      <w:r>
        <w:t xml:space="preserve">Local demand</w:t>
      </w:r>
    </w:p>
    <w:p>
      <w:pPr>
        <w:spacing w:after="160"/>
      </w:pPr>
      <w:r>
        <w:rPr>
          <w:i/>
          <w:iCs/>
          <w:color w:val="6B7280"/>
        </w:rPr>
        <w:t xml:space="preserve">Size your catchment by a 15-to-20-minute drive time. Count the school-age children in that radius using census data, and note anything that signals unmet demand, such as rival waitlists.</w:t>
      </w:r>
    </w:p>
    <w:p>
      <w:pPr>
        <w:spacing w:after="40" w:before="120"/>
      </w:pPr>
      <w:r>
        <w:rPr>
          <w:b/>
          <w:bCs/>
        </w:rPr>
        <w:t xml:space="preserve">Catchment area: </w:t>
      </w:r>
      <w:r>
        <w:rPr>
          <w:i/>
          <w:iCs/>
          <w:color w:val="6B7280"/>
        </w:rPr>
        <w:t xml:space="preserve">the towns or neighborhoods within your drive-time radius</w:t>
      </w:r>
    </w:p>
    <w:p>
      <w:pPr>
        <w:spacing w:after="160"/>
      </w:pPr>
    </w:p>
    <w:p>
      <w:pPr>
        <w:spacing w:after="40" w:before="120"/>
      </w:pPr>
      <w:r>
        <w:rPr>
          <w:b/>
          <w:bCs/>
        </w:rPr>
        <w:t xml:space="preserve">School-age children in catchment: </w:t>
      </w:r>
      <w:r>
        <w:rPr>
          <w:i/>
          <w:iCs/>
          <w:color w:val="6B7280"/>
        </w:rPr>
        <w:t xml:space="preserve">your census count</w:t>
      </w:r>
    </w:p>
    <w:p>
      <w:pPr>
        <w:spacing w:after="160"/>
      </w:pPr>
    </w:p>
    <w:p>
      <w:pPr>
        <w:spacing w:after="40" w:before="120"/>
      </w:pPr>
      <w:r>
        <w:rPr>
          <w:b/>
          <w:bCs/>
        </w:rPr>
        <w:t xml:space="preserve">Primary customer: </w:t>
      </w:r>
      <w:r>
        <w:rPr>
          <w:i/>
          <w:iCs/>
          <w:color w:val="6B7280"/>
        </w:rPr>
        <w:t xml:space="preserve">e.g. parents of 5-to-14-year-olds; note secondary groups like teens, adult rec players, and school-holiday campers</w:t>
      </w:r>
    </w:p>
    <w:p>
      <w:pPr>
        <w:spacing w:after="160"/>
      </w:pPr>
    </w:p>
    <w:p>
      <w:pPr>
        <w:pStyle w:val="Heading2"/>
      </w:pPr>
      <w:r>
        <w:t xml:space="preserve">Competitor analysis</w:t>
      </w:r>
    </w:p>
    <w:p>
      <w:pPr>
        <w:spacing w:after="160"/>
      </w:pPr>
      <w:r>
        <w:rPr>
          <w:i/>
          <w:iCs/>
          <w:color w:val="6B7280"/>
        </w:rPr>
        <w:t xml:space="preserve">List every nearby rec league, park-district program, travel club, and private academy. A long waitlist means the market is underserved.</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38"/>
        <w:gridCol w:w="1169"/>
        <w:gridCol w:w="1558"/>
        <w:gridCol w:w="3117"/>
        <w:gridCol w:w="1558"/>
      </w:tblGrid>
      <w:tr>
        <w:trPr>
          <w:tblHeader/>
        </w:trPr>
        <w:tc>
          <w:tcPr>
            <w:tcW w:type="dxa" w:w="2338"/>
            <w:shd w:fill="EEF2FF"/>
            <w:tcMar>
              <w:top w:type="dxa" w:w="80"/>
              <w:left w:type="dxa" w:w="120"/>
              <w:bottom w:type="dxa" w:w="80"/>
              <w:right w:type="dxa" w:w="120"/>
            </w:tcMar>
          </w:tcPr>
          <w:p>
            <w:pPr>
              <w:spacing w:after="0"/>
            </w:pPr>
            <w:r>
              <w:rPr>
                <w:b/>
                <w:bCs/>
                <w:i w:val="false"/>
                <w:iCs w:val="false"/>
                <w:color w:val="3730A3"/>
                <w:sz w:val="20"/>
                <w:szCs w:val="20"/>
              </w:rPr>
              <w:t xml:space="preserve">Competitor</w:t>
            </w:r>
          </w:p>
        </w:tc>
        <w:tc>
          <w:tcPr>
            <w:tcW w:type="dxa" w:w="1169"/>
            <w:shd w:fill="EEF2FF"/>
            <w:tcMar>
              <w:top w:type="dxa" w:w="80"/>
              <w:left w:type="dxa" w:w="120"/>
              <w:bottom w:type="dxa" w:w="80"/>
              <w:right w:type="dxa" w:w="120"/>
            </w:tcMar>
          </w:tcPr>
          <w:p>
            <w:pPr>
              <w:spacing w:after="0"/>
            </w:pPr>
            <w:r>
              <w:rPr>
                <w:b/>
                <w:bCs/>
                <w:i w:val="false"/>
                <w:iCs w:val="false"/>
                <w:color w:val="3730A3"/>
                <w:sz w:val="20"/>
                <w:szCs w:val="20"/>
              </w:rPr>
              <w:t xml:space="preserve">Ages</w:t>
            </w:r>
          </w:p>
        </w:tc>
        <w:tc>
          <w:tcPr>
            <w:tcW w:type="dxa" w:w="1558"/>
            <w:shd w:fill="EEF2FF"/>
            <w:tcMar>
              <w:top w:type="dxa" w:w="80"/>
              <w:left w:type="dxa" w:w="120"/>
              <w:bottom w:type="dxa" w:w="80"/>
              <w:right w:type="dxa" w:w="120"/>
            </w:tcMar>
          </w:tcPr>
          <w:p>
            <w:pPr>
              <w:spacing w:after="0"/>
            </w:pPr>
            <w:r>
              <w:rPr>
                <w:b/>
                <w:bCs/>
                <w:i w:val="false"/>
                <w:iCs w:val="false"/>
                <w:color w:val="3730A3"/>
                <w:sz w:val="20"/>
                <w:szCs w:val="20"/>
              </w:rPr>
              <w:t xml:space="preserve">Pricing</w:t>
            </w:r>
          </w:p>
        </w:tc>
        <w:tc>
          <w:tcPr>
            <w:tcW w:type="dxa" w:w="3117"/>
            <w:shd w:fill="EEF2FF"/>
            <w:tcMar>
              <w:top w:type="dxa" w:w="80"/>
              <w:left w:type="dxa" w:w="120"/>
              <w:bottom w:type="dxa" w:w="80"/>
              <w:right w:type="dxa" w:w="120"/>
            </w:tcMar>
          </w:tcPr>
          <w:p>
            <w:pPr>
              <w:spacing w:after="0"/>
            </w:pPr>
            <w:r>
              <w:rPr>
                <w:b/>
                <w:bCs/>
                <w:i w:val="false"/>
                <w:iCs w:val="false"/>
                <w:color w:val="3730A3"/>
                <w:sz w:val="20"/>
                <w:szCs w:val="20"/>
              </w:rPr>
              <w:t xml:space="preserve">Sessions / times</w:t>
            </w:r>
          </w:p>
        </w:tc>
        <w:tc>
          <w:tcPr>
            <w:tcW w:type="dxa" w:w="1558"/>
            <w:shd w:fill="EEF2FF"/>
            <w:tcMar>
              <w:top w:type="dxa" w:w="80"/>
              <w:left w:type="dxa" w:w="120"/>
              <w:bottom w:type="dxa" w:w="80"/>
              <w:right w:type="dxa" w:w="120"/>
            </w:tcMar>
          </w:tcPr>
          <w:p>
            <w:pPr>
              <w:spacing w:after="0"/>
            </w:pPr>
            <w:r>
              <w:rPr>
                <w:b/>
                <w:bCs/>
                <w:i w:val="false"/>
                <w:iCs w:val="false"/>
                <w:color w:val="3730A3"/>
                <w:sz w:val="20"/>
                <w:szCs w:val="20"/>
              </w:rPr>
              <w:t xml:space="preserve">Waitlist?</w:t>
            </w:r>
          </w:p>
        </w:tc>
      </w:tr>
      <w:tr>
        <w:trPr>
          <w:trHeight w:val="500" w:hRule="atLeast"/>
        </w:trPr>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169"/>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3117"/>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169"/>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3117"/>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169"/>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3117"/>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169"/>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3117"/>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bl>
    <w:p>
      <w:pPr>
        <w:spacing w:after="160"/>
      </w:pPr>
    </w:p>
    <w:p>
      <w:pPr>
        <w:spacing w:after="40" w:before="120"/>
      </w:pPr>
      <w:r>
        <w:rPr>
          <w:b/>
          <w:bCs/>
        </w:rPr>
        <w:t xml:space="preserve">Your gap: </w:t>
      </w:r>
      <w:r>
        <w:rPr>
          <w:i/>
          <w:iCs/>
          <w:color w:val="6B7280"/>
        </w:rPr>
        <w:t xml:space="preserve">the segment no one else serves well — a girls' pathway, U5–U7 intro, futsal, adult and rec play, goalkeeper-specific coaching, or holiday camps</w:t>
      </w:r>
    </w:p>
    <w:p>
      <w:pPr>
        <w:spacing w:after="160"/>
      </w:pPr>
    </w:p>
    <w:p>
      <w:pPr>
        <w:spacing w:after="160"/>
      </w:pPr>
    </w:p>
    <w:p>
      <w:pPr>
        <w:pStyle w:val="Heading1"/>
      </w:pPr>
      <w:r>
        <w:t xml:space="preserve">4. Programs, services and pricing</w:t>
      </w:r>
    </w:p>
    <w:p>
      <w:pPr>
        <w:spacing w:after="160"/>
      </w:pPr>
      <w:r>
        <w:rPr>
          <w:i/>
          <w:iCs/>
          <w:color w:val="6B7280"/>
        </w:rPr>
        <w:t xml:space="preserve">Spell out every program and how it makes money. Camps and school contracts often carry the strongest margins because they use coaches you already pay. Recurring monthly billing forecasts better than per-season fees, so build the plan around it.</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312"/>
        <w:gridCol w:w="2143"/>
        <w:gridCol w:w="2338"/>
        <w:gridCol w:w="1948"/>
      </w:tblGrid>
      <w:tr>
        <w:trPr>
          <w:tblHeader/>
        </w:trPr>
        <w:tc>
          <w:tcPr>
            <w:tcW w:type="dxa" w:w="3312"/>
            <w:shd w:fill="EEF2FF"/>
            <w:tcMar>
              <w:top w:type="dxa" w:w="80"/>
              <w:left w:type="dxa" w:w="120"/>
              <w:bottom w:type="dxa" w:w="80"/>
              <w:right w:type="dxa" w:w="120"/>
            </w:tcMar>
          </w:tcPr>
          <w:p>
            <w:pPr>
              <w:spacing w:after="0"/>
            </w:pPr>
            <w:r>
              <w:rPr>
                <w:b/>
                <w:bCs/>
                <w:i w:val="false"/>
                <w:iCs w:val="false"/>
                <w:color w:val="3730A3"/>
                <w:sz w:val="20"/>
                <w:szCs w:val="20"/>
              </w:rPr>
              <w:t xml:space="preserve">Program</w:t>
            </w:r>
          </w:p>
        </w:tc>
        <w:tc>
          <w:tcPr>
            <w:tcW w:type="dxa" w:w="2143"/>
            <w:shd w:fill="EEF2FF"/>
            <w:tcMar>
              <w:top w:type="dxa" w:w="80"/>
              <w:left w:type="dxa" w:w="120"/>
              <w:bottom w:type="dxa" w:w="80"/>
              <w:right w:type="dxa" w:w="120"/>
            </w:tcMar>
          </w:tcPr>
          <w:p>
            <w:pPr>
              <w:spacing w:after="0"/>
            </w:pPr>
            <w:r>
              <w:rPr>
                <w:b/>
                <w:bCs/>
                <w:i w:val="false"/>
                <w:iCs w:val="false"/>
                <w:color w:val="3730A3"/>
                <w:sz w:val="20"/>
                <w:szCs w:val="20"/>
              </w:rPr>
              <w:t xml:space="preserve">Who it's for</w:t>
            </w:r>
          </w:p>
        </w:tc>
        <w:tc>
          <w:tcPr>
            <w:tcW w:type="dxa" w:w="2338"/>
            <w:shd w:fill="EEF2FF"/>
            <w:tcMar>
              <w:top w:type="dxa" w:w="80"/>
              <w:left w:type="dxa" w:w="120"/>
              <w:bottom w:type="dxa" w:w="80"/>
              <w:right w:type="dxa" w:w="120"/>
            </w:tcMar>
          </w:tcPr>
          <w:p>
            <w:pPr>
              <w:spacing w:after="0"/>
            </w:pPr>
            <w:r>
              <w:rPr>
                <w:b/>
                <w:bCs/>
                <w:i w:val="false"/>
                <w:iCs w:val="false"/>
                <w:color w:val="3730A3"/>
                <w:sz w:val="20"/>
                <w:szCs w:val="20"/>
              </w:rPr>
              <w:t xml:space="preserve">Length &amp; ratio</w:t>
            </w:r>
          </w:p>
        </w:tc>
        <w:tc>
          <w:tcPr>
            <w:tcW w:type="dxa" w:w="1948"/>
            <w:shd w:fill="EEF2FF"/>
            <w:tcMar>
              <w:top w:type="dxa" w:w="80"/>
              <w:left w:type="dxa" w:w="120"/>
              <w:bottom w:type="dxa" w:w="80"/>
              <w:right w:type="dxa" w:w="120"/>
            </w:tcMar>
          </w:tcPr>
          <w:p>
            <w:pPr>
              <w:spacing w:after="0"/>
            </w:pPr>
            <w:r>
              <w:rPr>
                <w:b/>
                <w:bCs/>
                <w:i w:val="false"/>
                <w:iCs w:val="false"/>
                <w:color w:val="3730A3"/>
                <w:sz w:val="20"/>
                <w:szCs w:val="20"/>
              </w:rPr>
              <w:t xml:space="preserve">Price</w:t>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Weekly skills training</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Travel / select squads</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Holiday &amp; seasonal camps</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Clinics &amp; goalkeeper training</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1-to-1 / small-group coaching</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Indoor / futsal winter leagues</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Birthday parties &amp; adult rec</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School &amp; rec-department contracts</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bl>
    <w:p>
      <w:pPr>
        <w:spacing w:after="160"/>
      </w:pPr>
    </w:p>
    <w:p>
      <w:pPr>
        <w:spacing w:after="40" w:before="120"/>
      </w:pPr>
      <w:r>
        <w:rPr>
          <w:b/>
          <w:bCs/>
        </w:rPr>
        <w:t xml:space="preserve">Pricing position: </w:t>
      </w:r>
      <w:r>
        <w:rPr>
          <w:i/>
          <w:iCs/>
          <w:color w:val="6B7280"/>
        </w:rPr>
        <w:t xml:space="preserve">where you sit against local rivals, and the justification for any premium — smaller groups, licensed coaches, a better facility</w:t>
      </w:r>
    </w:p>
    <w:p>
      <w:pPr>
        <w:spacing w:after="160"/>
      </w:pPr>
    </w:p>
    <w:p>
      <w:pPr>
        <w:spacing w:after="160"/>
      </w:pPr>
    </w:p>
    <w:p>
      <w:pPr>
        <w:pStyle w:val="Heading1"/>
      </w:pPr>
      <w:r>
        <w:t xml:space="preserve">5. Fields and facilities</w:t>
      </w:r>
    </w:p>
    <w:p>
      <w:pPr>
        <w:spacing w:after="160"/>
      </w:pPr>
      <w:r>
        <w:rPr>
          <w:i/>
          <w:iCs/>
          <w:color w:val="6B7280"/>
        </w:rPr>
        <w:t xml:space="preserve">The single biggest cost decision. Renting field time or permitting through park and school districts keeps capital near zero; building your own turf field adds $80,000 to $200,000 and turns the plan into a facility business. Confirm availability in the 4-to-8pm and weekend windows before committing — prime slots are the constraint that most often derails a launch.</w:t>
      </w:r>
    </w:p>
    <w:p>
      <w:pPr>
        <w:spacing w:after="40" w:before="120"/>
      </w:pPr>
      <w:r>
        <w:rPr>
          <w:b/>
          <w:bCs/>
        </w:rPr>
        <w:t xml:space="preserve">Chosen route: </w:t>
      </w:r>
      <w:r>
        <w:rPr>
          <w:i/>
          <w:iCs/>
          <w:color w:val="6B7280"/>
        </w:rPr>
        <w:t xml:space="preserve">rent / permit, lease indoor space, or build, and why</w:t>
      </w:r>
    </w:p>
    <w:p>
      <w:pPr>
        <w:spacing w:after="160"/>
      </w:pPr>
    </w:p>
    <w:p>
      <w:pPr>
        <w:spacing w:after="160"/>
      </w:pP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312"/>
        <w:gridCol w:w="1753"/>
        <w:gridCol w:w="2922"/>
        <w:gridCol w:w="1753"/>
      </w:tblGrid>
      <w:tr>
        <w:trPr>
          <w:tblHeader/>
        </w:trPr>
        <w:tc>
          <w:tcPr>
            <w:tcW w:type="dxa" w:w="3312"/>
            <w:shd w:fill="EEF2FF"/>
            <w:tcMar>
              <w:top w:type="dxa" w:w="80"/>
              <w:left w:type="dxa" w:w="120"/>
              <w:bottom w:type="dxa" w:w="80"/>
              <w:right w:type="dxa" w:w="120"/>
            </w:tcMar>
          </w:tcPr>
          <w:p>
            <w:pPr>
              <w:spacing w:after="0"/>
            </w:pPr>
            <w:r>
              <w:rPr>
                <w:b/>
                <w:bCs/>
                <w:i w:val="false"/>
                <w:iCs w:val="false"/>
                <w:color w:val="3730A3"/>
                <w:sz w:val="20"/>
                <w:szCs w:val="20"/>
              </w:rPr>
              <w:t xml:space="preserve">Facility shortlist</w:t>
            </w:r>
          </w:p>
        </w:tc>
        <w:tc>
          <w:tcPr>
            <w:tcW w:type="dxa" w:w="1753"/>
            <w:shd w:fill="EEF2FF"/>
            <w:tcMar>
              <w:top w:type="dxa" w:w="80"/>
              <w:left w:type="dxa" w:w="120"/>
              <w:bottom w:type="dxa" w:w="80"/>
              <w:right w:type="dxa" w:w="120"/>
            </w:tcMar>
          </w:tcPr>
          <w:p>
            <w:pPr>
              <w:spacing w:after="0"/>
            </w:pPr>
            <w:r>
              <w:rPr>
                <w:b/>
                <w:bCs/>
                <w:i w:val="false"/>
                <w:iCs w:val="false"/>
                <w:color w:val="3730A3"/>
                <w:sz w:val="20"/>
                <w:szCs w:val="20"/>
              </w:rPr>
              <w:t xml:space="preserve">Surface / indoor</w:t>
            </w:r>
          </w:p>
        </w:tc>
        <w:tc>
          <w:tcPr>
            <w:tcW w:type="dxa" w:w="2922"/>
            <w:shd w:fill="EEF2FF"/>
            <w:tcMar>
              <w:top w:type="dxa" w:w="80"/>
              <w:left w:type="dxa" w:w="120"/>
              <w:bottom w:type="dxa" w:w="80"/>
              <w:right w:type="dxa" w:w="120"/>
            </w:tcMar>
          </w:tcPr>
          <w:p>
            <w:pPr>
              <w:spacing w:after="0"/>
            </w:pPr>
            <w:r>
              <w:rPr>
                <w:b/>
                <w:bCs/>
                <w:i w:val="false"/>
                <w:iCs w:val="false"/>
                <w:color w:val="3730A3"/>
                <w:sz w:val="20"/>
                <w:szCs w:val="20"/>
              </w:rPr>
              <w:t xml:space="preserve">Prime slots available</w:t>
            </w:r>
          </w:p>
        </w:tc>
        <w:tc>
          <w:tcPr>
            <w:tcW w:type="dxa" w:w="1753"/>
            <w:shd w:fill="EEF2FF"/>
            <w:tcMar>
              <w:top w:type="dxa" w:w="80"/>
              <w:left w:type="dxa" w:w="120"/>
              <w:bottom w:type="dxa" w:w="80"/>
              <w:right w:type="dxa" w:w="120"/>
            </w:tcMar>
          </w:tcPr>
          <w:p>
            <w:pPr>
              <w:spacing w:after="0"/>
            </w:pPr>
            <w:r>
              <w:rPr>
                <w:b/>
                <w:bCs/>
                <w:i w:val="false"/>
                <w:iCs w:val="false"/>
                <w:color w:val="3730A3"/>
                <w:sz w:val="20"/>
                <w:szCs w:val="20"/>
              </w:rPr>
              <w:t xml:space="preserve">Hourly rate</w:t>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75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753"/>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75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753"/>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75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753"/>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bl>
    <w:p>
      <w:pPr>
        <w:spacing w:after="160"/>
      </w:pPr>
    </w:p>
    <w:p>
      <w:pPr>
        <w:pStyle w:val="Heading1"/>
      </w:pPr>
      <w:r>
        <w:t xml:space="preserve">6. Coaching, licensing and safety</w:t>
      </w:r>
    </w:p>
    <w:p>
      <w:pPr>
        <w:pStyle w:val="Heading2"/>
      </w:pPr>
      <w:r>
        <w:t xml:space="preserve">Licensing and qualifications</w:t>
      </w:r>
    </w:p>
    <w:p>
      <w:pPr>
        <w:spacing w:after="160"/>
      </w:pPr>
      <w:r>
        <w:rPr>
          <w:i/>
          <w:iCs/>
          <w:color w:val="6B7280"/>
        </w:rPr>
        <w:t xml:space="preserve">Name the actual pathway, not just 'get certified': a US Soccer Learning Center account, background check, SafeSport training, then the in-person grassroots courses for the small-sided formats (4v4, 7v7, 9v9, 11v11).</w:t>
      </w:r>
    </w:p>
    <w:p>
      <w:pPr>
        <w:spacing w:after="160"/>
      </w:pPr>
    </w:p>
    <w:p>
      <w:pPr>
        <w:spacing w:after="160"/>
      </w:pPr>
    </w:p>
    <w:p>
      <w:pPr>
        <w:pStyle w:val="Heading2"/>
      </w:pPr>
      <w:r>
        <w:t xml:space="preserve">Safeguarding and background checks</w:t>
      </w:r>
    </w:p>
    <w:p>
      <w:pPr>
        <w:spacing w:after="160"/>
      </w:pPr>
      <w:r>
        <w:rPr>
          <w:i/>
          <w:iCs/>
          <w:color w:val="6B7280"/>
        </w:rPr>
        <w:t xml:space="preserve">Background checks and safeguarding training for every coach working with minors are non-negotiable. Write the policy, not just the intention: who gets screened, how often, and who holds the records.</w:t>
      </w:r>
    </w:p>
    <w:p>
      <w:pPr>
        <w:spacing w:after="160"/>
      </w:pPr>
    </w:p>
    <w:p>
      <w:pPr>
        <w:spacing w:after="160"/>
      </w:pPr>
    </w:p>
    <w:p>
      <w:pPr>
        <w:pStyle w:val="Heading2"/>
      </w:pPr>
      <w:r>
        <w:t xml:space="preserve">Staffing plan</w:t>
      </w:r>
    </w:p>
    <w:p>
      <w:pPr>
        <w:spacing w:after="160"/>
      </w:pPr>
      <w:r>
        <w:rPr>
          <w:i/>
          <w:iCs/>
          <w:color w:val="6B7280"/>
        </w:rPr>
        <w:t xml:space="preserve">Grassroots sessions commonly run ratios of about 1:8 to 1:12, tighter for the youngest players. Session coaches commonly earn roughly $15 to $30 an hour.</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896"/>
        <w:gridCol w:w="1948"/>
        <w:gridCol w:w="1948"/>
        <w:gridCol w:w="1948"/>
      </w:tblGrid>
      <w:tr>
        <w:trPr>
          <w:tblHeader/>
        </w:trPr>
        <w:tc>
          <w:tcPr>
            <w:tcW w:type="dxa" w:w="3896"/>
            <w:shd w:fill="EEF2FF"/>
            <w:tcMar>
              <w:top w:type="dxa" w:w="80"/>
              <w:left w:type="dxa" w:w="120"/>
              <w:bottom w:type="dxa" w:w="80"/>
              <w:right w:type="dxa" w:w="120"/>
            </w:tcMar>
          </w:tcPr>
          <w:p>
            <w:pPr>
              <w:spacing w:after="0"/>
            </w:pPr>
            <w:r>
              <w:rPr>
                <w:b/>
                <w:bCs/>
                <w:i w:val="false"/>
                <w:iCs w:val="false"/>
                <w:color w:val="3730A3"/>
                <w:sz w:val="20"/>
                <w:szCs w:val="20"/>
              </w:rPr>
              <w:t xml:space="preserve">Role</w:t>
            </w:r>
          </w:p>
        </w:tc>
        <w:tc>
          <w:tcPr>
            <w:tcW w:type="dxa" w:w="1948"/>
            <w:shd w:fill="EEF2FF"/>
            <w:tcMar>
              <w:top w:type="dxa" w:w="80"/>
              <w:left w:type="dxa" w:w="120"/>
              <w:bottom w:type="dxa" w:w="80"/>
              <w:right w:type="dxa" w:w="120"/>
            </w:tcMar>
          </w:tcPr>
          <w:p>
            <w:pPr>
              <w:spacing w:after="0"/>
            </w:pPr>
            <w:r>
              <w:rPr>
                <w:b/>
                <w:bCs/>
                <w:i w:val="false"/>
                <w:iCs w:val="false"/>
                <w:color w:val="3730A3"/>
                <w:sz w:val="20"/>
                <w:szCs w:val="20"/>
              </w:rPr>
              <w:t xml:space="preserve">When hired</w:t>
            </w:r>
          </w:p>
        </w:tc>
        <w:tc>
          <w:tcPr>
            <w:tcW w:type="dxa" w:w="1948"/>
            <w:shd w:fill="EEF2FF"/>
            <w:tcMar>
              <w:top w:type="dxa" w:w="80"/>
              <w:left w:type="dxa" w:w="120"/>
              <w:bottom w:type="dxa" w:w="80"/>
              <w:right w:type="dxa" w:w="120"/>
            </w:tcMar>
          </w:tcPr>
          <w:p>
            <w:pPr>
              <w:spacing w:after="0"/>
            </w:pPr>
            <w:r>
              <w:rPr>
                <w:b/>
                <w:bCs/>
                <w:i w:val="false"/>
                <w:iCs w:val="false"/>
                <w:color w:val="3730A3"/>
                <w:sz w:val="20"/>
                <w:szCs w:val="20"/>
              </w:rPr>
              <w:t xml:space="preserve">Hours / week</w:t>
            </w:r>
          </w:p>
        </w:tc>
        <w:tc>
          <w:tcPr>
            <w:tcW w:type="dxa" w:w="1948"/>
            <w:shd w:fill="EEF2FF"/>
            <w:tcMar>
              <w:top w:type="dxa" w:w="80"/>
              <w:left w:type="dxa" w:w="120"/>
              <w:bottom w:type="dxa" w:w="80"/>
              <w:right w:type="dxa" w:w="120"/>
            </w:tcMar>
          </w:tcPr>
          <w:p>
            <w:pPr>
              <w:spacing w:after="0"/>
            </w:pPr>
            <w:r>
              <w:rPr>
                <w:b/>
                <w:bCs/>
                <w:i w:val="false"/>
                <w:iCs w:val="false"/>
                <w:color w:val="3730A3"/>
                <w:sz w:val="20"/>
                <w:szCs w:val="20"/>
              </w:rPr>
              <w:t xml:space="preserve">Pay rate</w:t>
            </w:r>
          </w:p>
        </w:tc>
      </w:tr>
      <w:tr>
        <w:trPr>
          <w:trHeight w:val="500" w:hRule="atLeast"/>
        </w:trPr>
        <w:tc>
          <w:tcPr>
            <w:tcW w:type="dxa" w:w="3896"/>
            <w:tcMar>
              <w:top w:type="dxa" w:w="80"/>
              <w:left w:type="dxa" w:w="120"/>
              <w:bottom w:type="dxa" w:w="80"/>
              <w:right w:type="dxa" w:w="120"/>
            </w:tcMar>
          </w:tcPr>
          <w:p>
            <w:pPr>
              <w:spacing w:after="0"/>
            </w:pPr>
            <w:r>
              <w:rPr>
                <w:b w:val="false"/>
                <w:bCs w:val="false"/>
                <w:i w:val="false"/>
                <w:iCs w:val="false"/>
                <w:color w:val="1F2937"/>
                <w:sz w:val="20"/>
                <w:szCs w:val="20"/>
              </w:rPr>
              <w:t xml:space="preserve">Academy director / head coach</w:t>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896"/>
            <w:tcMar>
              <w:top w:type="dxa" w:w="80"/>
              <w:left w:type="dxa" w:w="120"/>
              <w:bottom w:type="dxa" w:w="80"/>
              <w:right w:type="dxa" w:w="120"/>
            </w:tcMar>
          </w:tcPr>
          <w:p>
            <w:pPr>
              <w:spacing w:after="0"/>
            </w:pPr>
            <w:r>
              <w:rPr>
                <w:b w:val="false"/>
                <w:bCs w:val="false"/>
                <w:i w:val="false"/>
                <w:iCs w:val="false"/>
                <w:color w:val="1F2937"/>
                <w:sz w:val="20"/>
                <w:szCs w:val="20"/>
              </w:rPr>
              <w:t xml:space="preserve">Session coaches</w:t>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896"/>
            <w:tcMar>
              <w:top w:type="dxa" w:w="80"/>
              <w:left w:type="dxa" w:w="120"/>
              <w:bottom w:type="dxa" w:w="80"/>
              <w:right w:type="dxa" w:w="120"/>
            </w:tcMar>
          </w:tcPr>
          <w:p>
            <w:pPr>
              <w:spacing w:after="0"/>
            </w:pPr>
            <w:r>
              <w:rPr>
                <w:b w:val="false"/>
                <w:bCs w:val="false"/>
                <w:i w:val="false"/>
                <w:iCs w:val="false"/>
                <w:color w:val="1F2937"/>
                <w:sz w:val="20"/>
                <w:szCs w:val="20"/>
              </w:rPr>
              <w:t xml:space="preserve">Part-time assistants</w:t>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896"/>
            <w:tcMar>
              <w:top w:type="dxa" w:w="80"/>
              <w:left w:type="dxa" w:w="120"/>
              <w:bottom w:type="dxa" w:w="80"/>
              <w:right w:type="dxa" w:w="120"/>
            </w:tcMar>
          </w:tcPr>
          <w:p>
            <w:pPr>
              <w:spacing w:after="0"/>
            </w:pPr>
            <w:r>
              <w:rPr>
                <w:b w:val="false"/>
                <w:bCs w:val="false"/>
                <w:i w:val="false"/>
                <w:iCs w:val="false"/>
                <w:color w:val="1F2937"/>
                <w:sz w:val="20"/>
                <w:szCs w:val="20"/>
              </w:rPr>
              <w:t xml:space="preserve">Admin</w:t>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bl>
    <w:p>
      <w:pPr>
        <w:spacing w:after="160"/>
      </w:pPr>
    </w:p>
    <w:p>
      <w:pPr>
        <w:pStyle w:val="Heading1"/>
      </w:pPr>
      <w:r>
        <w:t xml:space="preserve">7. Registration, billing and admin</w:t>
      </w:r>
    </w:p>
    <w:p>
      <w:pPr>
        <w:spacing w:after="160"/>
      </w:pPr>
      <w:r>
        <w:rPr>
          <w:i/>
          <w:iCs/>
          <w:color w:val="6B7280"/>
        </w:rPr>
        <w:t xml:space="preserve">Spreadsheets, a card reader, and a group chat break somewhere around 30 to 50 active players. Specify your software for online registration, recurring dues collection, attendance registers, digital waivers and medical consent, rosters, and multi-child family accounts. Budget $45 to $150 a month.</w:t>
      </w:r>
    </w:p>
    <w:p>
      <w:pPr>
        <w:spacing w:after="40" w:before="120"/>
      </w:pPr>
      <w:r>
        <w:rPr>
          <w:b/>
          <w:bCs/>
        </w:rPr>
        <w:t xml:space="preserve">Software and admin stack: </w:t>
      </w:r>
      <w:r>
        <w:rPr>
          <w:i/>
          <w:iCs/>
          <w:color w:val="6B7280"/>
        </w:rPr>
        <w:t xml:space="preserve">which platform handles registration, billing, registers, and waivers, and what it costs</w:t>
      </w:r>
    </w:p>
    <w:p>
      <w:pPr>
        <w:spacing w:after="160"/>
      </w:pPr>
    </w:p>
    <w:p>
      <w:pPr>
        <w:spacing w:after="160"/>
      </w:pPr>
    </w:p>
    <w:p>
      <w:pPr>
        <w:pStyle w:val="Heading1"/>
      </w:pPr>
      <w:r>
        <w:t xml:space="preserve">8. Marketing and enrollment</w:t>
      </w:r>
    </w:p>
    <w:p>
      <w:pPr>
        <w:spacing w:after="40" w:before="120"/>
      </w:pPr>
      <w:r>
        <w:rPr>
          <w:b/>
          <w:bCs/>
        </w:rPr>
        <w:t xml:space="preserve">Pre-launch: </w:t>
      </w:r>
      <w:r>
        <w:rPr>
          <w:i/>
          <w:iCs/>
          <w:color w:val="6B7280"/>
        </w:rPr>
        <w:t xml:space="preserve">founding-member enrollment, school and rec-department partnerships, taster sessions, and a landing page collecting a waitlist months ahead</w:t>
      </w:r>
    </w:p>
    <w:p>
      <w:pPr>
        <w:spacing w:after="160"/>
      </w:pPr>
    </w:p>
    <w:p>
      <w:pPr>
        <w:spacing w:after="160"/>
      </w:pPr>
    </w:p>
    <w:p>
      <w:pPr>
        <w:spacing w:after="40" w:before="120"/>
      </w:pPr>
      <w:r>
        <w:rPr>
          <w:b/>
          <w:bCs/>
        </w:rPr>
        <w:t xml:space="preserve">Post-launch: </w:t>
      </w:r>
      <w:r>
        <w:rPr>
          <w:i/>
          <w:iCs/>
          <w:color w:val="6B7280"/>
        </w:rPr>
        <w:t xml:space="preserve">parent referrals, Google Business Profile and local SEO, social proof from session clips, seasonal camp pushes</w:t>
      </w:r>
    </w:p>
    <w:p>
      <w:pPr>
        <w:spacing w:after="160"/>
      </w:pPr>
    </w:p>
    <w:p>
      <w:pPr>
        <w:spacing w:after="160"/>
      </w:pPr>
    </w:p>
    <w:p>
      <w:pPr>
        <w:spacing w:after="40" w:before="120"/>
      </w:pPr>
      <w:r>
        <w:rPr>
          <w:b/>
          <w:bCs/>
        </w:rPr>
        <w:t xml:space="preserve">Targets: </w:t>
      </w:r>
      <w:r>
        <w:rPr>
          <w:i/>
          <w:iCs/>
          <w:color w:val="6B7280"/>
        </w:rPr>
        <w:t xml:space="preserve">marketing budget (roughly 5 to 10% of projected revenue early), customer acquisition cost, and annual retention rate</w:t>
      </w:r>
    </w:p>
    <w:p>
      <w:pPr>
        <w:spacing w:after="160"/>
      </w:pPr>
    </w:p>
    <w:p>
      <w:pPr>
        <w:pStyle w:val="Heading1"/>
      </w:pPr>
      <w:r>
        <w:t xml:space="preserve">9. Financial projections</w:t>
      </w:r>
    </w:p>
    <w:p>
      <w:pPr>
        <w:spacing w:after="160"/>
      </w:pPr>
      <w:r>
        <w:rPr>
          <w:i/>
          <w:iCs/>
          <w:color w:val="6B7280"/>
        </w:rPr>
        <w:t xml:space="preserve">Build the numbers bottom-up: players times fee, minus costs. The companion break-even calculator spreadsheet does this math for you — copy the results in here, then keep both in sync as quotes come in.</w:t>
      </w:r>
    </w:p>
    <w:p>
      <w:pPr>
        <w:pStyle w:val="Heading2"/>
      </w:pPr>
      <w:r>
        <w:t xml:space="preserve">Startup costs</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818"/>
        <w:gridCol w:w="2922"/>
      </w:tblGrid>
      <w:tr>
        <w:trPr>
          <w:tblHeader/>
        </w:trPr>
        <w:tc>
          <w:tcPr>
            <w:tcW w:type="dxa" w:w="6818"/>
            <w:shd w:fill="EEF2FF"/>
            <w:tcMar>
              <w:top w:type="dxa" w:w="80"/>
              <w:left w:type="dxa" w:w="120"/>
              <w:bottom w:type="dxa" w:w="80"/>
              <w:right w:type="dxa" w:w="120"/>
            </w:tcMar>
          </w:tcPr>
          <w:p>
            <w:pPr>
              <w:spacing w:after="0"/>
            </w:pPr>
            <w:r>
              <w:rPr>
                <w:b/>
                <w:bCs/>
                <w:i w:val="false"/>
                <w:iCs w:val="false"/>
                <w:color w:val="3730A3"/>
                <w:sz w:val="20"/>
                <w:szCs w:val="20"/>
              </w:rPr>
              <w:t xml:space="preserve">Line item</w:t>
            </w:r>
          </w:p>
        </w:tc>
        <w:tc>
          <w:tcPr>
            <w:tcW w:type="dxa" w:w="2922"/>
            <w:shd w:fill="EEF2FF"/>
            <w:tcMar>
              <w:top w:type="dxa" w:w="80"/>
              <w:left w:type="dxa" w:w="120"/>
              <w:bottom w:type="dxa" w:w="80"/>
              <w:right w:type="dxa" w:w="120"/>
            </w:tcMar>
          </w:tcPr>
          <w:p>
            <w:pPr>
              <w:spacing w:after="0"/>
            </w:pPr>
            <w:r>
              <w:rPr>
                <w:b/>
                <w:bCs/>
                <w:i w:val="false"/>
                <w:iCs w:val="false"/>
                <w:color w:val="3730A3"/>
                <w:sz w:val="20"/>
                <w:szCs w:val="20"/>
              </w:rPr>
              <w:t xml:space="preserve">Your budget</w:t>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Equipment (balls, cones, bibs, goals, first aid)</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First block of field / futsal hire (deposit + weeks)</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Insurance (first year)</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Coaching licenses, background checks, affiliation</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Legal / entity setup / permits</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Branding, website, software setup</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Launch marketing</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Working capital (3 to 6 months' reserve)</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Total</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bl>
    <w:p>
      <w:pPr>
        <w:spacing w:after="160"/>
      </w:pPr>
    </w:p>
    <w:p>
      <w:pPr>
        <w:pStyle w:val="Heading2"/>
      </w:pPr>
      <w:r>
        <w:t xml:space="preserve">Monthly operating costs</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818"/>
        <w:gridCol w:w="2922"/>
      </w:tblGrid>
      <w:tr>
        <w:trPr>
          <w:tblHeader/>
        </w:trPr>
        <w:tc>
          <w:tcPr>
            <w:tcW w:type="dxa" w:w="6818"/>
            <w:shd w:fill="EEF2FF"/>
            <w:tcMar>
              <w:top w:type="dxa" w:w="80"/>
              <w:left w:type="dxa" w:w="120"/>
              <w:bottom w:type="dxa" w:w="80"/>
              <w:right w:type="dxa" w:w="120"/>
            </w:tcMar>
          </w:tcPr>
          <w:p>
            <w:pPr>
              <w:spacing w:after="0"/>
            </w:pPr>
            <w:r>
              <w:rPr>
                <w:b/>
                <w:bCs/>
                <w:i w:val="false"/>
                <w:iCs w:val="false"/>
                <w:color w:val="3730A3"/>
                <w:sz w:val="20"/>
                <w:szCs w:val="20"/>
              </w:rPr>
              <w:t xml:space="preserve">Line item</w:t>
            </w:r>
          </w:p>
        </w:tc>
        <w:tc>
          <w:tcPr>
            <w:tcW w:type="dxa" w:w="2922"/>
            <w:shd w:fill="EEF2FF"/>
            <w:tcMar>
              <w:top w:type="dxa" w:w="80"/>
              <w:left w:type="dxa" w:w="120"/>
              <w:bottom w:type="dxa" w:w="80"/>
              <w:right w:type="dxa" w:w="120"/>
            </w:tcMar>
          </w:tcPr>
          <w:p>
            <w:pPr>
              <w:spacing w:after="0"/>
            </w:pPr>
            <w:r>
              <w:rPr>
                <w:b/>
                <w:bCs/>
                <w:i w:val="false"/>
                <w:iCs w:val="false"/>
                <w:color w:val="3730A3"/>
                <w:sz w:val="20"/>
                <w:szCs w:val="20"/>
              </w:rPr>
              <w:t xml:space="preserve">Monthly amount</w:t>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Field / facility hire</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Coaching payroll</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Insurance</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Booking &amp; billing software</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Marketing</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Equipment &amp; uniform replacement</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Admin &amp; accounting</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Total fixed monthly costs</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bl>
    <w:p>
      <w:pPr>
        <w:spacing w:after="160"/>
      </w:pPr>
    </w:p>
    <w:p>
      <w:pPr>
        <w:pStyle w:val="Heading2"/>
      </w:pPr>
      <w:r>
        <w:t xml:space="preserve">Break-even</w:t>
      </w:r>
    </w:p>
    <w:p>
      <w:pPr>
        <w:spacing w:after="160" w:before="80"/>
      </w:pPr>
      <w:r>
        <w:t xml:space="preserve">Fixed monthly costs of </w:t>
      </w:r>
      <w:r>
        <w:rPr>
          <w:b/>
          <w:bCs/>
          <w:color w:val="5850EC"/>
        </w:rPr>
        <w:t xml:space="preserve">$[amount]</w:t>
      </w:r>
      <w:r>
        <w:t xml:space="preserve"> ÷ average monthly revenue per active player of </w:t>
      </w:r>
      <w:r>
        <w:rPr>
          <w:b/>
          <w:bCs/>
          <w:color w:val="5850EC"/>
        </w:rPr>
        <w:t xml:space="preserve">$[amount]</w:t>
      </w:r>
      <w:r>
        <w:t xml:space="preserve"> = </w:t>
      </w:r>
      <w:r>
        <w:rPr>
          <w:b/>
          <w:bCs/>
          <w:color w:val="5850EC"/>
        </w:rPr>
        <w:t xml:space="preserve">[number] active players to break even.</w:t>
      </w:r>
    </w:p>
    <w:p>
      <w:pPr>
        <w:pBdr>
          <w:left w:val="single" w:color="5850EC" w:sz="18" w:space="8"/>
        </w:pBdr>
        <w:spacing w:after="160" w:before="80"/>
      </w:pPr>
      <w:r>
        <w:rPr>
          <w:b/>
          <w:bCs/>
          <w:color w:val="5850EC"/>
        </w:rPr>
        <w:t xml:space="preserve">Example (Lakeside Soccer Academy): </w:t>
      </w:r>
      <w:r>
        <w:rPr>
          <w:i/>
          <w:iCs/>
        </w:rPr>
        <w:t xml:space="preserve">Fixed monthly costs of about $19,000, divided by roughly $85 of average monthly revenue per active player, works out to about 225 active players to break even.</w:t>
      </w:r>
    </w:p>
    <w:p>
      <w:pPr>
        <w:pStyle w:val="Heading2"/>
      </w:pPr>
      <w:r>
        <w:t xml:space="preserve">Funding</w:t>
      </w:r>
    </w:p>
    <w:p>
      <w:pPr>
        <w:spacing w:after="40" w:before="120"/>
      </w:pPr>
      <w:r>
        <w:rPr>
          <w:b/>
          <w:bCs/>
        </w:rPr>
        <w:t xml:space="preserve">Funding plan: </w:t>
      </w:r>
      <w:r>
        <w:rPr>
          <w:i/>
          <w:iCs/>
          <w:color w:val="6B7280"/>
        </w:rPr>
        <w:t xml:space="preserve">how much you are raising, from whom (savings, bank or SBA loan, equipment finance, sponsorship, grants), and what each tranche pays for</w:t>
      </w:r>
    </w:p>
    <w:p>
      <w:pPr>
        <w:spacing w:after="160"/>
      </w:pPr>
    </w:p>
    <w:p>
      <w:pPr>
        <w:spacing w:after="160"/>
      </w:pPr>
    </w:p>
    <w:p>
      <w:pPr>
        <w:pStyle w:val="Heading1"/>
      </w:pPr>
      <w:r>
        <w:t xml:space="preserve">10. SWOT analysis</w:t>
      </w:r>
    </w:p>
    <w:p>
      <w:pPr>
        <w:spacing w:after="160"/>
      </w:pPr>
      <w:r>
        <w:rPr>
          <w:i/>
          <w:iCs/>
          <w:color w:val="6B7280"/>
        </w:rPr>
        <w:t xml:space="preserve">Internal factors (strengths, weaknesses) on the left; external (opportunities, threats) on the right. A lender will probe field security and coach retention hardest — have an answer for both.</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70"/>
        <w:gridCol w:w="4870"/>
      </w:tblGrid>
      <w:tr>
        <w:tc>
          <w:tcPr>
            <w:tcW w:type="dxa" w:w="4870"/>
            <w:shd w:fill="EEF2FF"/>
            <w:tcMar>
              <w:top w:type="dxa" w:w="80"/>
              <w:left w:type="dxa" w:w="120"/>
              <w:bottom w:type="dxa" w:w="80"/>
              <w:right w:type="dxa" w:w="120"/>
            </w:tcMar>
          </w:tcPr>
          <w:p>
            <w:pPr>
              <w:spacing w:after="0"/>
            </w:pPr>
            <w:r>
              <w:rPr>
                <w:b/>
                <w:bCs/>
                <w:i w:val="false"/>
                <w:iCs w:val="false"/>
                <w:color w:val="3730A3"/>
                <w:sz w:val="20"/>
                <w:szCs w:val="20"/>
              </w:rPr>
              <w:t xml:space="preserve">Strengths</w:t>
            </w:r>
          </w:p>
        </w:tc>
        <w:tc>
          <w:tcPr>
            <w:tcW w:type="dxa" w:w="4870"/>
            <w:shd w:fill="FFFBEB"/>
            <w:tcMar>
              <w:top w:type="dxa" w:w="80"/>
              <w:left w:type="dxa" w:w="120"/>
              <w:bottom w:type="dxa" w:w="80"/>
              <w:right w:type="dxa" w:w="120"/>
            </w:tcMar>
          </w:tcPr>
          <w:p>
            <w:pPr>
              <w:spacing w:after="0"/>
            </w:pPr>
            <w:r>
              <w:rPr>
                <w:b/>
                <w:bCs/>
                <w:i w:val="false"/>
                <w:iCs w:val="false"/>
                <w:color w:val="B45309"/>
                <w:sz w:val="20"/>
                <w:szCs w:val="20"/>
              </w:rPr>
              <w:t xml:space="preserve">Weaknesses</w:t>
            </w:r>
          </w:p>
        </w:tc>
      </w:tr>
      <w:tr>
        <w:trPr>
          <w:trHeight w:val="1600" w:hRule="atLeast"/>
        </w:trPr>
        <w:tc>
          <w:tcPr>
            <w:tcW w:type="dxa" w:w="4870"/>
            <w:tcMar>
              <w:top w:type="dxa" w:w="80"/>
              <w:left w:type="dxa" w:w="120"/>
              <w:bottom w:type="dxa" w:w="80"/>
              <w:right w:type="dxa" w:w="120"/>
            </w:tcMar>
          </w:tcPr>
          <w:p>
            <w:pPr>
              <w:spacing w:after="0"/>
            </w:pPr>
            <w:r>
              <w:rPr>
                <w:b w:val="false"/>
                <w:bCs w:val="false"/>
                <w:i/>
                <w:iCs/>
                <w:color w:val="6B7280"/>
                <w:sz w:val="20"/>
                <w:szCs w:val="20"/>
              </w:rPr>
              <w:t xml:space="preserve">e.g. recurring revenue, sticky families, low capital</w:t>
            </w:r>
          </w:p>
        </w:tc>
        <w:tc>
          <w:tcPr>
            <w:tcW w:type="dxa" w:w="4870"/>
            <w:tcMar>
              <w:top w:type="dxa" w:w="80"/>
              <w:left w:type="dxa" w:w="120"/>
              <w:bottom w:type="dxa" w:w="80"/>
              <w:right w:type="dxa" w:w="120"/>
            </w:tcMar>
          </w:tcPr>
          <w:p>
            <w:pPr>
              <w:spacing w:after="0"/>
            </w:pPr>
            <w:r>
              <w:rPr>
                <w:b w:val="false"/>
                <w:bCs w:val="false"/>
                <w:i/>
                <w:iCs/>
                <w:color w:val="6B7280"/>
                <w:sz w:val="20"/>
                <w:szCs w:val="20"/>
              </w:rPr>
              <w:t xml:space="preserve">e.g. rented-field and permit dependence, key-coach risk, seasonality</w:t>
            </w:r>
          </w:p>
        </w:tc>
      </w:tr>
      <w:tr>
        <w:tc>
          <w:tcPr>
            <w:tcW w:type="dxa" w:w="4870"/>
            <w:shd w:fill="F5F3FF"/>
            <w:tcMar>
              <w:top w:type="dxa" w:w="80"/>
              <w:left w:type="dxa" w:w="120"/>
              <w:bottom w:type="dxa" w:w="80"/>
              <w:right w:type="dxa" w:w="120"/>
            </w:tcMar>
          </w:tcPr>
          <w:p>
            <w:pPr>
              <w:spacing w:after="0"/>
            </w:pPr>
            <w:r>
              <w:rPr>
                <w:b/>
                <w:bCs/>
                <w:i w:val="false"/>
                <w:iCs w:val="false"/>
                <w:color w:val="5B21B6"/>
                <w:sz w:val="20"/>
                <w:szCs w:val="20"/>
              </w:rPr>
              <w:t xml:space="preserve">Opportunities</w:t>
            </w:r>
          </w:p>
        </w:tc>
        <w:tc>
          <w:tcPr>
            <w:tcW w:type="dxa" w:w="4870"/>
            <w:shd w:fill="FEF2F2"/>
            <w:tcMar>
              <w:top w:type="dxa" w:w="80"/>
              <w:left w:type="dxa" w:w="120"/>
              <w:bottom w:type="dxa" w:w="80"/>
              <w:right w:type="dxa" w:w="120"/>
            </w:tcMar>
          </w:tcPr>
          <w:p>
            <w:pPr>
              <w:spacing w:after="0"/>
            </w:pPr>
            <w:r>
              <w:rPr>
                <w:b/>
                <w:bCs/>
                <w:i w:val="false"/>
                <w:iCs w:val="false"/>
                <w:color w:val="B91C1C"/>
                <w:sz w:val="20"/>
                <w:szCs w:val="20"/>
              </w:rPr>
              <w:t xml:space="preserve">Threats</w:t>
            </w:r>
          </w:p>
        </w:tc>
      </w:tr>
      <w:tr>
        <w:trPr>
          <w:trHeight w:val="1600" w:hRule="atLeast"/>
        </w:trPr>
        <w:tc>
          <w:tcPr>
            <w:tcW w:type="dxa" w:w="4870"/>
            <w:tcMar>
              <w:top w:type="dxa" w:w="80"/>
              <w:left w:type="dxa" w:w="120"/>
              <w:bottom w:type="dxa" w:w="80"/>
              <w:right w:type="dxa" w:w="120"/>
            </w:tcMar>
          </w:tcPr>
          <w:p>
            <w:pPr>
              <w:spacing w:after="0"/>
            </w:pPr>
            <w:r>
              <w:rPr>
                <w:b w:val="false"/>
                <w:bCs w:val="false"/>
                <w:i/>
                <w:iCs/>
                <w:color w:val="6B7280"/>
                <w:sz w:val="20"/>
                <w:szCs w:val="20"/>
              </w:rPr>
              <w:t xml:space="preserve">e.g. underserved segments, high-margin camps and school contracts</w:t>
            </w:r>
          </w:p>
        </w:tc>
        <w:tc>
          <w:tcPr>
            <w:tcW w:type="dxa" w:w="4870"/>
            <w:tcMar>
              <w:top w:type="dxa" w:w="80"/>
              <w:left w:type="dxa" w:w="120"/>
              <w:bottom w:type="dxa" w:w="80"/>
              <w:right w:type="dxa" w:w="120"/>
            </w:tcMar>
          </w:tcPr>
          <w:p>
            <w:pPr>
              <w:spacing w:after="0"/>
            </w:pPr>
            <w:r>
              <w:rPr>
                <w:b w:val="false"/>
                <w:bCs w:val="false"/>
                <w:i/>
                <w:iCs/>
                <w:color w:val="6B7280"/>
                <w:sz w:val="20"/>
                <w:szCs w:val="20"/>
              </w:rPr>
              <w:t xml:space="preserve">e.g. coach turnover, losing prime slots, liability, household budgets</w:t>
            </w:r>
          </w:p>
        </w:tc>
      </w:tr>
    </w:tbl>
    <w:p>
      <w:pPr>
        <w:spacing w:after="160"/>
      </w:pPr>
    </w:p>
    <w:p>
      <w:pPr>
        <w:pStyle w:val="Heading1"/>
      </w:pPr>
      <w:r>
        <w:t xml:space="preserve">11. Milestones and timeline</w:t>
      </w:r>
    </w:p>
    <w:p>
      <w:pPr>
        <w:spacing w:after="160"/>
      </w:pPr>
      <w:r>
        <w:rPr>
          <w:i/>
          <w:iCs/>
          <w:color w:val="6B7280"/>
        </w:rPr>
        <w:t xml:space="preserve">Edit the month markers to your dates. Securing prime evening and weekend field permits is the step most likely to slip, so treat it as gating.</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61"/>
        <w:gridCol w:w="8279"/>
      </w:tblGrid>
      <w:tr>
        <w:trPr>
          <w:tblHeader/>
        </w:trPr>
        <w:tc>
          <w:tcPr>
            <w:tcW w:type="dxa" w:w="1461"/>
            <w:shd w:fill="EEF2FF"/>
            <w:tcMar>
              <w:top w:type="dxa" w:w="80"/>
              <w:left w:type="dxa" w:w="120"/>
              <w:bottom w:type="dxa" w:w="80"/>
              <w:right w:type="dxa" w:w="120"/>
            </w:tcMar>
          </w:tcPr>
          <w:p>
            <w:pPr>
              <w:spacing w:after="0"/>
            </w:pPr>
            <w:r>
              <w:rPr>
                <w:b/>
                <w:bCs/>
                <w:i w:val="false"/>
                <w:iCs w:val="false"/>
                <w:color w:val="3730A3"/>
                <w:sz w:val="20"/>
                <w:szCs w:val="20"/>
              </w:rPr>
              <w:t xml:space="preserve">Months</w:t>
            </w:r>
          </w:p>
        </w:tc>
        <w:tc>
          <w:tcPr>
            <w:tcW w:type="dxa" w:w="8279"/>
            <w:shd w:fill="EEF2FF"/>
            <w:tcMar>
              <w:top w:type="dxa" w:w="80"/>
              <w:left w:type="dxa" w:w="120"/>
              <w:bottom w:type="dxa" w:w="80"/>
              <w:right w:type="dxa" w:w="120"/>
            </w:tcMar>
          </w:tcPr>
          <w:p>
            <w:pPr>
              <w:spacing w:after="0"/>
            </w:pPr>
            <w:r>
              <w:rPr>
                <w:b/>
                <w:bCs/>
                <w:i w:val="false"/>
                <w:iCs w:val="false"/>
                <w:color w:val="3730A3"/>
                <w:sz w:val="20"/>
                <w:szCs w:val="20"/>
              </w:rPr>
              <w:t xml:space="preserve">Milestone</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1–2</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Secure funding, register the entity, sort insurance and affiliation</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2–3</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Lock field and futsal permits for prime slots, order equipment</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2–4</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Recruit and vet coaches; background checks, SafeSport, grassroots courses</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3–4</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Set up software, registration forms, waivers, and rosters</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3–5</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Pre-launch marketing, taster sessions, founding waitlist</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5</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Soft launch a limited timetable, add sessions as squads fill</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6–12</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Grow to break-even player count; review the plan at month 12</w:t>
            </w:r>
          </w:p>
        </w:tc>
      </w:tr>
    </w:tbl>
    <w:sectPr>
      <w:footerReference w:type="default" r:id="rId7"/>
      <w:pgSz w:w="11906" w:h="16838" w:orient="portrait"/>
      <w:pgMar w:top="1100" w:right="1250" w:bottom="1100" w:left="12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6"/>
        <w:szCs w:val="16"/>
      </w:rPr>
      <w:t xml:space="preserve">Free template from Pembee — booking software for classes, camps, and clubs · www.pembee.app/blog/soccer-academy-business-plan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7"/>
        <w:sz w:val="21"/>
        <w:szCs w:val="21"/>
      </w:rPr>
    </w:rPrDefault>
    <w:pPrDefault/>
  </w:docDefaults>
  <w:style w:type="paragraph" w:styleId="Title">
    <w:name w:val="Title"/>
    <w:basedOn w:val="Normal"/>
    <w:next w:val="Normal"/>
    <w:qFormat/>
    <w:rPr>
      <w:rFonts w:ascii="Calibri" w:cs="Calibri" w:eastAsia="Calibri" w:hAnsi="Calibri"/>
      <w:b/>
      <w:bCs/>
      <w:color w:val="111827"/>
      <w:sz w:val="44"/>
      <w:szCs w:val="44"/>
    </w:rPr>
  </w:style>
  <w:style w:type="paragraph" w:styleId="Heading1">
    <w:name w:val="Heading 1"/>
    <w:basedOn w:val="Normal"/>
    <w:next w:val="Normal"/>
    <w:qFormat/>
    <w:pPr>
      <w:spacing w:after="140" w:before="360"/>
    </w:pPr>
    <w:rPr>
      <w:rFonts w:ascii="Calibri" w:cs="Calibri" w:eastAsia="Calibri" w:hAnsi="Calibri"/>
      <w:b/>
      <w:bCs/>
      <w:color w:val="5850EC"/>
      <w:sz w:val="28"/>
      <w:szCs w:val="28"/>
    </w:rPr>
  </w:style>
  <w:style w:type="paragraph" w:styleId="Heading2">
    <w:name w:val="Heading 2"/>
    <w:basedOn w:val="Normal"/>
    <w:next w:val="Normal"/>
    <w:qFormat/>
    <w:pPr>
      <w:spacing w:after="100" w:before="220"/>
    </w:pPr>
    <w:rPr>
      <w:rFonts w:ascii="Calibri" w:cs="Calibri" w:eastAsia="Calibri" w:hAnsi="Calibri"/>
      <w:b/>
      <w:bCs/>
      <w:color w:val="111827"/>
      <w:sz w:val="23"/>
      <w:szCs w:val="23"/>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Soccer Academy Business Plan Template</dc:title>
  <dc:creator>Pembee</dc:creator>
  <dc:description>Fillable soccer academy business plan template from Pembee. Pairs with www.pembee.app/blog/soccer-academy-business-plan</dc:description>
  <cp:lastModifiedBy>Un-named</cp:lastModifiedBy>
  <cp:revision>1</cp:revision>
  <dcterms:created xsi:type="dcterms:W3CDTF">2026-07-24T12:37:30.562Z</dcterms:created>
  <dcterms:modified xsi:type="dcterms:W3CDTF">2026-07-24T12:37:30.563Z</dcterms:modified>
</cp:coreProperties>
</file>

<file path=docProps/custom.xml><?xml version="1.0" encoding="utf-8"?>
<Properties xmlns="http://schemas.openxmlformats.org/officeDocument/2006/custom-properties" xmlns:vt="http://schemas.openxmlformats.org/officeDocument/2006/docPropsVTypes"/>
</file>